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bookmarkEnd w:id="0"/>
    <w:bookmarkEnd w:id="1"/>
    <w:bookmarkEnd w:id="2"/>
    <w:bookmarkEnd w:id="3"/>
    <w:bookmarkEnd w:id="4"/>
    <w:p w14:paraId="7CCB4B31" w14:textId="4FE6E42B" w:rsidR="00F2574C" w:rsidRPr="000F6082" w:rsidRDefault="00F2574C" w:rsidP="00F2574C">
      <w:pPr>
        <w:spacing w:before="240"/>
        <w:jc w:val="center"/>
        <w:rPr>
          <w:rFonts w:ascii="Arial" w:hAnsi="Arial" w:cs="Arial"/>
          <w:b/>
          <w:bCs/>
          <w:caps/>
          <w:color w:val="214F87"/>
          <w:sz w:val="44"/>
          <w:szCs w:val="44"/>
        </w:rPr>
      </w:pPr>
      <w:r w:rsidRPr="00F939F1">
        <w:rPr>
          <w:rFonts w:ascii="Arial" w:hAnsi="Arial" w:cs="Arial"/>
          <w:b/>
          <w:bCs/>
          <w:caps/>
          <w:color w:val="214F87"/>
          <w:sz w:val="44"/>
          <w:szCs w:val="44"/>
        </w:rPr>
        <w:t>PŘÍLOHA 3</w:t>
      </w:r>
      <w:r w:rsidR="00F460B5">
        <w:rPr>
          <w:rFonts w:ascii="Arial" w:hAnsi="Arial" w:cs="Arial"/>
          <w:b/>
          <w:bCs/>
          <w:caps/>
          <w:color w:val="214F87"/>
          <w:sz w:val="44"/>
          <w:szCs w:val="44"/>
        </w:rPr>
        <w:t>D</w:t>
      </w:r>
    </w:p>
    <w:p w14:paraId="1E10A072" w14:textId="77777777" w:rsidR="00F2574C" w:rsidRPr="000F6082" w:rsidRDefault="00F2574C" w:rsidP="00F2574C">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p>
    <w:p w14:paraId="7EE802D0" w14:textId="77777777" w:rsidR="00F2574C" w:rsidRDefault="00F2574C" w:rsidP="00F2574C">
      <w:pPr>
        <w:pStyle w:val="Zkladnodstavec"/>
        <w:rPr>
          <w:rFonts w:ascii="Arial" w:hAnsi="Arial" w:cs="Arial"/>
          <w:b/>
          <w:bCs/>
          <w:caps/>
          <w:color w:val="214F87"/>
        </w:rPr>
      </w:pPr>
    </w:p>
    <w:p w14:paraId="5025100D" w14:textId="77777777" w:rsidR="002E0C05" w:rsidRDefault="00F2574C" w:rsidP="00F2574C">
      <w:pPr>
        <w:spacing w:after="200"/>
        <w:jc w:val="center"/>
        <w:rPr>
          <w:rFonts w:ascii="Arial" w:hAnsi="Arial" w:cs="Arial"/>
          <w:sz w:val="36"/>
          <w:szCs w:val="36"/>
        </w:rPr>
      </w:pPr>
      <w:r>
        <w:rPr>
          <w:rFonts w:ascii="Arial" w:hAnsi="Arial" w:cs="Arial"/>
          <w:sz w:val="36"/>
          <w:szCs w:val="36"/>
        </w:rPr>
        <w:t>29</w:t>
      </w:r>
      <w:r w:rsidRPr="008243B1">
        <w:rPr>
          <w:rFonts w:ascii="Arial" w:hAnsi="Arial" w:cs="Arial"/>
          <w:sz w:val="36"/>
          <w:szCs w:val="36"/>
        </w:rPr>
        <w:t xml:space="preserve">. VÝZVA IROP – EGOVERNMENT A KYBERNETICKÁ BEZPEČNOST </w:t>
      </w:r>
      <w:r>
        <w:rPr>
          <w:rFonts w:ascii="Arial" w:hAnsi="Arial" w:cs="Arial"/>
          <w:sz w:val="36"/>
          <w:szCs w:val="36"/>
        </w:rPr>
        <w:t xml:space="preserve">(ITI) </w:t>
      </w:r>
      <w:r w:rsidRPr="008243B1">
        <w:rPr>
          <w:rFonts w:ascii="Arial" w:hAnsi="Arial" w:cs="Arial"/>
          <w:sz w:val="36"/>
          <w:szCs w:val="36"/>
        </w:rPr>
        <w:t xml:space="preserve">– SC 1.1 </w:t>
      </w:r>
    </w:p>
    <w:p w14:paraId="25C0D7C1" w14:textId="12227D13" w:rsidR="00F2574C" w:rsidRPr="00731333" w:rsidRDefault="00F2574C" w:rsidP="00F2574C">
      <w:pPr>
        <w:spacing w:after="200"/>
        <w:jc w:val="center"/>
        <w:rPr>
          <w:rFonts w:ascii="Arial" w:hAnsi="Arial" w:cs="Arial"/>
          <w:sz w:val="36"/>
          <w:szCs w:val="36"/>
        </w:rPr>
      </w:pPr>
      <w:r w:rsidRPr="008243B1">
        <w:rPr>
          <w:rFonts w:ascii="Arial" w:hAnsi="Arial" w:cs="Arial"/>
          <w:sz w:val="36"/>
          <w:szCs w:val="36"/>
        </w:rPr>
        <w:t>(</w:t>
      </w:r>
      <w:r>
        <w:rPr>
          <w:rFonts w:ascii="Arial" w:hAnsi="Arial" w:cs="Arial"/>
          <w:sz w:val="36"/>
          <w:szCs w:val="36"/>
        </w:rPr>
        <w:t>MRR, PR</w:t>
      </w:r>
      <w:r w:rsidRPr="008243B1">
        <w:rPr>
          <w:rFonts w:ascii="Arial" w:hAnsi="Arial" w:cs="Arial"/>
          <w:sz w:val="36"/>
          <w:szCs w:val="36"/>
        </w:rPr>
        <w:t>)</w:t>
      </w:r>
    </w:p>
    <w:p w14:paraId="7221DA0E" w14:textId="6BCD40F6" w:rsidR="00F2574C" w:rsidRDefault="00F2574C" w:rsidP="00F2574C">
      <w:pPr>
        <w:spacing w:after="200"/>
        <w:jc w:val="center"/>
        <w:rPr>
          <w:rFonts w:ascii="Arial" w:hAnsi="Arial" w:cs="Arial"/>
          <w:caps/>
          <w:color w:val="7F7F7F" w:themeColor="text1" w:themeTint="80"/>
          <w:sz w:val="32"/>
          <w:szCs w:val="32"/>
        </w:rPr>
        <w:sectPr w:rsidR="00F2574C"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9E234F">
        <w:rPr>
          <w:rFonts w:ascii="Arial" w:hAnsi="Arial" w:cs="Arial"/>
          <w:caps/>
          <w:color w:val="7F7F7F" w:themeColor="text1" w:themeTint="80"/>
          <w:sz w:val="32"/>
          <w:szCs w:val="32"/>
        </w:rPr>
        <w:t>2</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9704E">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3422AD9B" w:rsidR="009132E6" w:rsidRPr="0079704E" w:rsidRDefault="009132E6" w:rsidP="0079704E">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79704E">
              <w:rPr>
                <w:rFonts w:ascii="Arial" w:hAnsi="Arial" w:cs="Arial"/>
                <w:snapToGrid w:val="0"/>
                <w:sz w:val="22"/>
                <w:szCs w:val="22"/>
              </w:rPr>
              <w:t xml:space="preserve">závěrečné zprávy o realizaci projektu </w:t>
            </w:r>
            <w:bookmarkEnd w:id="8"/>
            <w:r w:rsidRPr="0079704E">
              <w:rPr>
                <w:rFonts w:ascii="Arial" w:hAnsi="Arial" w:cs="Arial"/>
                <w:snapToGrid w:val="0"/>
                <w:sz w:val="22"/>
                <w:szCs w:val="22"/>
              </w:rPr>
              <w:t>prokázat</w:t>
            </w:r>
            <w:r w:rsidR="00223557" w:rsidRPr="0079704E">
              <w:rPr>
                <w:rFonts w:ascii="Arial" w:hAnsi="Arial" w:cs="Arial"/>
                <w:snapToGrid w:val="0"/>
                <w:sz w:val="22"/>
                <w:szCs w:val="22"/>
              </w:rPr>
              <w:t>,</w:t>
            </w:r>
            <w:r w:rsidRPr="0079704E">
              <w:rPr>
                <w:rFonts w:ascii="Arial" w:hAnsi="Arial" w:cs="Arial"/>
                <w:snapToGrid w:val="0"/>
                <w:sz w:val="22"/>
                <w:szCs w:val="22"/>
              </w:rPr>
              <w:t xml:space="preserve"> že indikátory </w:t>
            </w:r>
            <w:r w:rsidR="00A67B07" w:rsidRPr="0079704E">
              <w:rPr>
                <w:rFonts w:ascii="Arial" w:hAnsi="Arial" w:cs="Arial"/>
                <w:i/>
                <w:iCs/>
                <w:snapToGrid w:val="0"/>
                <w:sz w:val="22"/>
                <w:szCs w:val="22"/>
              </w:rPr>
              <w:t>I. – III</w:t>
            </w:r>
            <w:r w:rsidR="00A67B07" w:rsidRPr="0079704E">
              <w:rPr>
                <w:rFonts w:ascii="Arial" w:hAnsi="Arial" w:cs="Arial"/>
                <w:snapToGrid w:val="0"/>
                <w:sz w:val="22"/>
                <w:szCs w:val="22"/>
              </w:rPr>
              <w:t xml:space="preserve">. </w:t>
            </w:r>
            <w:r w:rsidRPr="0079704E">
              <w:rPr>
                <w:rFonts w:ascii="Arial" w:hAnsi="Arial" w:cs="Arial"/>
                <w:snapToGrid w:val="0"/>
                <w:sz w:val="22"/>
                <w:szCs w:val="22"/>
              </w:rPr>
              <w:t>byly naplněny v termínu</w:t>
            </w:r>
            <w:r w:rsidR="00EC707A" w:rsidRPr="0079704E">
              <w:rPr>
                <w:rStyle w:val="Znakapoznpodarou"/>
                <w:rFonts w:ascii="Arial" w:hAnsi="Arial" w:cs="Arial"/>
                <w:snapToGrid w:val="0"/>
                <w:sz w:val="22"/>
                <w:szCs w:val="22"/>
              </w:rPr>
              <w:footnoteReference w:id="11"/>
            </w:r>
            <w:r w:rsidRPr="0079704E">
              <w:rPr>
                <w:rFonts w:ascii="Arial" w:hAnsi="Arial" w:cs="Arial"/>
                <w:snapToGrid w:val="0"/>
                <w:sz w:val="22"/>
                <w:szCs w:val="22"/>
              </w:rPr>
              <w:t xml:space="preserve"> a cílové hodnotě uvedené </w:t>
            </w:r>
            <w:r w:rsidR="00F13F4F" w:rsidRPr="0079704E">
              <w:rPr>
                <w:rFonts w:ascii="Arial" w:hAnsi="Arial" w:cs="Arial"/>
                <w:snapToGrid w:val="0"/>
                <w:sz w:val="22"/>
                <w:szCs w:val="22"/>
              </w:rPr>
              <w:t>ve Stanovení výdajů</w:t>
            </w:r>
            <w:r w:rsidRPr="0079704E">
              <w:rPr>
                <w:rFonts w:ascii="Arial" w:hAnsi="Arial" w:cs="Arial"/>
                <w:snapToGrid w:val="0"/>
                <w:sz w:val="22"/>
                <w:szCs w:val="22"/>
              </w:rPr>
              <w:t xml:space="preserve"> / v MS2021+</w:t>
            </w:r>
            <w:r w:rsidRPr="0079704E">
              <w:rPr>
                <w:rStyle w:val="Znakapoznpodarou"/>
                <w:rFonts w:ascii="Arial" w:hAnsi="Arial" w:cs="Arial"/>
                <w:snapToGrid w:val="0"/>
                <w:sz w:val="22"/>
                <w:szCs w:val="22"/>
              </w:rPr>
              <w:footnoteReference w:id="12"/>
            </w:r>
            <w:r w:rsidRPr="0079704E">
              <w:rPr>
                <w:rFonts w:ascii="Arial" w:hAnsi="Arial" w:cs="Arial"/>
                <w:snapToGrid w:val="0"/>
                <w:sz w:val="22"/>
                <w:szCs w:val="22"/>
              </w:rPr>
              <w:t xml:space="preserve">. </w:t>
            </w:r>
          </w:p>
          <w:p w14:paraId="3772791B" w14:textId="77777777" w:rsidR="00F2574C" w:rsidRPr="0079704E" w:rsidRDefault="00F2574C" w:rsidP="0079704E">
            <w:pPr>
              <w:spacing w:before="120" w:after="120" w:line="271" w:lineRule="auto"/>
              <w:ind w:right="-2"/>
              <w:jc w:val="both"/>
              <w:rPr>
                <w:rFonts w:ascii="Arial" w:hAnsi="Arial" w:cs="Arial"/>
                <w:snapToGrid w:val="0"/>
                <w:sz w:val="22"/>
                <w:szCs w:val="22"/>
              </w:rPr>
            </w:pPr>
            <w:r w:rsidRPr="0079704E">
              <w:rPr>
                <w:rFonts w:ascii="Arial" w:hAnsi="Arial" w:cs="Arial"/>
                <w:snapToGrid w:val="0"/>
                <w:sz w:val="22"/>
                <w:szCs w:val="22"/>
              </w:rPr>
              <w:t xml:space="preserve">Naplnění cílové hodnoty indikátoru </w:t>
            </w:r>
            <w:r w:rsidRPr="0079704E">
              <w:rPr>
                <w:rFonts w:ascii="Arial" w:hAnsi="Arial" w:cs="Arial"/>
                <w:i/>
                <w:iCs/>
                <w:snapToGrid w:val="0"/>
                <w:sz w:val="22"/>
                <w:szCs w:val="22"/>
              </w:rPr>
              <w:t>IV.</w:t>
            </w:r>
            <w:r w:rsidRPr="0079704E">
              <w:rPr>
                <w:rFonts w:ascii="Arial" w:hAnsi="Arial" w:cs="Arial"/>
                <w:snapToGrid w:val="0"/>
                <w:sz w:val="22"/>
                <w:szCs w:val="22"/>
              </w:rPr>
              <w:t xml:space="preserve"> a </w:t>
            </w:r>
            <w:r w:rsidRPr="0079704E">
              <w:rPr>
                <w:rFonts w:ascii="Arial" w:hAnsi="Arial" w:cs="Arial"/>
                <w:i/>
                <w:iCs/>
                <w:snapToGrid w:val="0"/>
                <w:sz w:val="22"/>
                <w:szCs w:val="22"/>
              </w:rPr>
              <w:t>V.</w:t>
            </w:r>
            <w:r w:rsidRPr="0079704E">
              <w:rPr>
                <w:rFonts w:ascii="Arial" w:hAnsi="Arial" w:cs="Arial"/>
                <w:snapToGrid w:val="0"/>
                <w:sz w:val="22"/>
                <w:szCs w:val="22"/>
              </w:rPr>
              <w:t xml:space="preserve"> uvedené v MS2021+ je příjemce povinen vykázat při podání první Zprávy o udržitelnosti projektu. </w:t>
            </w:r>
          </w:p>
          <w:p w14:paraId="3D9CE42A" w14:textId="77777777" w:rsidR="00F2574C" w:rsidRPr="0079704E" w:rsidRDefault="00F2574C" w:rsidP="0079704E">
            <w:pPr>
              <w:spacing w:before="120" w:after="120" w:line="271" w:lineRule="auto"/>
              <w:ind w:right="-2"/>
              <w:jc w:val="both"/>
              <w:rPr>
                <w:rFonts w:ascii="Arial" w:hAnsi="Arial" w:cs="Arial"/>
                <w:snapToGrid w:val="0"/>
                <w:sz w:val="22"/>
                <w:szCs w:val="22"/>
              </w:rPr>
            </w:pPr>
            <w:r w:rsidRPr="0079704E">
              <w:rPr>
                <w:rFonts w:ascii="Arial" w:hAnsi="Arial" w:cs="Arial"/>
                <w:snapToGrid w:val="0"/>
                <w:sz w:val="22"/>
                <w:szCs w:val="22"/>
              </w:rPr>
              <w:t>Indikátory:</w:t>
            </w:r>
          </w:p>
          <w:p w14:paraId="46E9F38D" w14:textId="77777777" w:rsidR="00F2574C" w:rsidRPr="00900A65" w:rsidRDefault="00F2574C" w:rsidP="0079704E">
            <w:pPr>
              <w:numPr>
                <w:ilvl w:val="0"/>
                <w:numId w:val="32"/>
              </w:numPr>
              <w:spacing w:before="120" w:after="120" w:line="271" w:lineRule="auto"/>
              <w:ind w:right="-2"/>
              <w:jc w:val="both"/>
              <w:rPr>
                <w:rFonts w:ascii="Arial" w:hAnsi="Arial" w:cs="Arial"/>
                <w:i/>
                <w:iCs/>
                <w:snapToGrid w:val="0"/>
                <w:sz w:val="22"/>
                <w:szCs w:val="22"/>
              </w:rPr>
            </w:pPr>
            <w:r w:rsidRPr="0079704E">
              <w:rPr>
                <w:rFonts w:ascii="Arial" w:hAnsi="Arial" w:cs="Arial"/>
                <w:i/>
                <w:iCs/>
                <w:snapToGrid w:val="0"/>
                <w:sz w:val="22"/>
                <w:szCs w:val="22"/>
              </w:rPr>
              <w:t>305 002 - Počet pořízených</w:t>
            </w:r>
            <w:r w:rsidRPr="00900A65">
              <w:rPr>
                <w:rFonts w:ascii="Arial" w:hAnsi="Arial" w:cs="Arial"/>
                <w:i/>
                <w:iCs/>
                <w:snapToGrid w:val="0"/>
                <w:sz w:val="22"/>
                <w:szCs w:val="22"/>
              </w:rPr>
              <w:t xml:space="preserve"> informačních systémů</w:t>
            </w:r>
          </w:p>
          <w:p w14:paraId="18314F54" w14:textId="77777777" w:rsidR="00F2574C"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36BCFA98" w14:textId="77777777" w:rsidR="00F2574C" w:rsidRPr="00900A65"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0AE67216" w14:textId="77777777" w:rsidR="00F2574C" w:rsidRPr="00900A65"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45B379CD" w14:textId="77777777" w:rsidR="00F2574C" w:rsidRPr="00900A65"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11549613" w14:textId="77777777" w:rsidR="00F2574C" w:rsidRPr="00900A65"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Pro příjemce jsou závazné pouze indikátory uvedené v</w:t>
            </w:r>
            <w:r w:rsidR="00670130">
              <w:rPr>
                <w:rFonts w:ascii="Arial" w:hAnsi="Arial" w:cs="Arial"/>
                <w:snapToGrid w:val="0"/>
                <w:sz w:val="22"/>
                <w:szCs w:val="22"/>
              </w:rPr>
              <w:t xml:space="preserve">e </w:t>
            </w:r>
            <w:r w:rsidR="00670130" w:rsidRPr="0079704E">
              <w:rPr>
                <w:rFonts w:ascii="Arial" w:hAnsi="Arial" w:cs="Arial"/>
                <w:snapToGrid w:val="0"/>
                <w:sz w:val="22"/>
                <w:szCs w:val="22"/>
              </w:rPr>
              <w:t>Stanovení výdajů</w:t>
            </w:r>
            <w:r w:rsidRPr="0079704E">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61AD35C0" w14:textId="77777777" w:rsidR="00F2574C" w:rsidRPr="00BF657C" w:rsidRDefault="00F2574C" w:rsidP="00F2574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4CF3FE43" w14:textId="77777777" w:rsidR="00F2574C" w:rsidRPr="00900A65" w:rsidRDefault="00F2574C" w:rsidP="00F2574C">
            <w:pPr>
              <w:numPr>
                <w:ilvl w:val="1"/>
                <w:numId w:val="16"/>
              </w:numPr>
              <w:spacing w:before="120" w:after="120" w:line="271" w:lineRule="auto"/>
              <w:ind w:left="318" w:hanging="284"/>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bez stanoveného tolerančního pásma (indikátor </w:t>
            </w:r>
            <w:r w:rsidRPr="00900A65">
              <w:rPr>
                <w:rFonts w:ascii="Arial" w:hAnsi="Arial" w:cs="Arial"/>
                <w:i/>
                <w:iCs/>
                <w:snapToGrid w:val="0"/>
                <w:sz w:val="22"/>
                <w:szCs w:val="22"/>
                <w:lang w:eastAsia="zh-CN" w:bidi="ar"/>
              </w:rPr>
              <w:t>I.</w:t>
            </w:r>
            <w:r>
              <w:rPr>
                <w:rFonts w:ascii="Arial" w:hAnsi="Arial" w:cs="Arial"/>
                <w:snapToGrid w:val="0"/>
                <w:sz w:val="22"/>
                <w:szCs w:val="22"/>
                <w:lang w:eastAsia="zh-CN" w:bidi="ar"/>
              </w:rPr>
              <w:t xml:space="preserve">,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a III.</w:t>
            </w:r>
            <w:r w:rsidRPr="00900A65">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476E1F50" w14:textId="77777777" w:rsidR="00F2574C" w:rsidRPr="00900A65" w:rsidRDefault="00F2574C" w:rsidP="00F2574C">
            <w:pPr>
              <w:numPr>
                <w:ilvl w:val="1"/>
                <w:numId w:val="16"/>
              </w:numPr>
              <w:spacing w:before="120" w:after="120" w:line="271" w:lineRule="auto"/>
              <w:ind w:left="318" w:hanging="284"/>
              <w:jc w:val="both"/>
              <w:rPr>
                <w:rFonts w:ascii="Arial" w:hAnsi="Arial" w:cs="Arial"/>
                <w:snapToGrid w:val="0"/>
                <w:sz w:val="22"/>
                <w:szCs w:val="22"/>
              </w:rPr>
            </w:pPr>
            <w:r w:rsidRPr="00900A65">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900A65">
              <w:rPr>
                <w:rFonts w:ascii="Arial" w:hAnsi="Arial" w:cs="Arial"/>
                <w:snapToGrid w:val="0"/>
                <w:sz w:val="22"/>
                <w:szCs w:val="22"/>
              </w:rPr>
              <w:t xml:space="preserve"> </w:t>
            </w:r>
          </w:p>
          <w:p w14:paraId="66B42B22" w14:textId="77777777" w:rsidR="00F2574C" w:rsidRPr="00900A65" w:rsidRDefault="00F2574C" w:rsidP="00F2574C">
            <w:pPr>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28E7A6D9" w14:textId="77777777" w:rsidR="00F2574C" w:rsidRPr="00900A65" w:rsidRDefault="00F2574C" w:rsidP="00F2574C">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eastAsiaTheme="minorEastAsia" w:hAnsi="Arial" w:cs="Arial"/>
                <w:i/>
                <w:iCs/>
                <w:snapToGrid w:val="0"/>
                <w:sz w:val="22"/>
                <w:szCs w:val="22"/>
                <w:lang w:eastAsia="zh-CN" w:bidi="ar"/>
              </w:rPr>
              <w:t>. a V</w:t>
            </w:r>
            <w:r>
              <w:rPr>
                <w:rFonts w:ascii="Arial" w:eastAsiaTheme="minorEastAsia" w:hAnsi="Arial" w:cs="Arial"/>
                <w:i/>
                <w:iCs/>
                <w:snapToGrid w:val="0"/>
                <w:sz w:val="22"/>
                <w:szCs w:val="22"/>
                <w:lang w:eastAsia="zh-CN" w:bidi="ar"/>
              </w:rPr>
              <w:t>I</w:t>
            </w:r>
            <w:r w:rsidRPr="00900A65">
              <w:rPr>
                <w:rFonts w:ascii="Arial" w:eastAsiaTheme="minorEastAsia" w:hAnsi="Arial" w:cs="Arial"/>
                <w:i/>
                <w:iCs/>
                <w:snapToGrid w:val="0"/>
                <w:sz w:val="22"/>
                <w:szCs w:val="22"/>
                <w:lang w:eastAsia="zh-CN" w:bidi="ar"/>
              </w:rPr>
              <w:t xml:space="preserve">. </w:t>
            </w:r>
            <w:r w:rsidRPr="00900A65">
              <w:rPr>
                <w:rFonts w:ascii="Arial" w:eastAsiaTheme="minorEastAsia" w:hAnsi="Arial" w:cs="Arial"/>
                <w:snapToGrid w:val="0"/>
                <w:sz w:val="22"/>
                <w:szCs w:val="22"/>
                <w:lang w:eastAsia="zh-CN" w:bidi="ar"/>
              </w:rPr>
              <w:t xml:space="preserve">za období </w:t>
            </w:r>
            <w:r w:rsidRPr="00900A65">
              <w:rPr>
                <w:rFonts w:ascii="Arial" w:eastAsiaTheme="minorEastAsia" w:hAnsi="Arial" w:cs="Arial"/>
                <w:sz w:val="22"/>
                <w:szCs w:val="22"/>
              </w:rPr>
              <w:t>prvního roku udržitelnosti</w:t>
            </w:r>
            <w:r w:rsidRPr="00900A65">
              <w:rPr>
                <w:rFonts w:ascii="Arial" w:eastAsiaTheme="minorEastAsia" w:hAnsi="Arial" w:cs="Arial"/>
                <w:snapToGrid w:val="0"/>
                <w:sz w:val="22"/>
                <w:szCs w:val="22"/>
                <w:lang w:eastAsia="zh-CN" w:bidi="ar"/>
              </w:rPr>
              <w:t xml:space="preserve"> na 75 %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9704E">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7CFF7162" w14:textId="77777777" w:rsidR="00C93D45" w:rsidRDefault="00C93D45" w:rsidP="00F2574C">
            <w:pPr>
              <w:spacing w:before="120" w:after="120" w:line="271" w:lineRule="auto"/>
              <w:ind w:right="-2"/>
              <w:jc w:val="both"/>
              <w:rPr>
                <w:rFonts w:ascii="Arial" w:hAnsi="Arial" w:cs="Arial"/>
                <w:snapToGrid w:val="0"/>
                <w:sz w:val="22"/>
                <w:szCs w:val="22"/>
              </w:rPr>
            </w:pPr>
          </w:p>
          <w:p w14:paraId="393B21D2" w14:textId="1FC5A95F" w:rsidR="00F2574C" w:rsidRPr="00A67B07" w:rsidRDefault="00F2574C" w:rsidP="00F2574C">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C8D5A72"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45D38322"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5E5A8046"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50F7DDDD"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5007385B"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4009E96E"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79704E">
              <w:rPr>
                <w:rFonts w:ascii="Arial" w:hAnsi="Arial" w:cs="Arial"/>
                <w:snapToGrid w:val="0"/>
                <w:sz w:val="22"/>
                <w:szCs w:val="22"/>
              </w:rPr>
              <w:t>příjemce jsou závazné pouze indikátory uvedené v</w:t>
            </w:r>
            <w:r w:rsidR="00670130" w:rsidRPr="0079704E">
              <w:rPr>
                <w:rFonts w:ascii="Arial" w:hAnsi="Arial" w:cs="Arial"/>
                <w:snapToGrid w:val="0"/>
                <w:sz w:val="22"/>
                <w:szCs w:val="22"/>
              </w:rPr>
              <w:t>e Stanovení výdajů</w:t>
            </w:r>
            <w:r w:rsidRPr="0079704E">
              <w:rPr>
                <w:rFonts w:ascii="Arial" w:hAnsi="Arial" w:cs="Arial"/>
                <w:snapToGrid w:val="0"/>
                <w:sz w:val="22"/>
                <w:szCs w:val="22"/>
              </w:rPr>
              <w:t>.</w:t>
            </w:r>
          </w:p>
        </w:tc>
        <w:tc>
          <w:tcPr>
            <w:tcW w:w="4534" w:type="dxa"/>
          </w:tcPr>
          <w:p w14:paraId="3A0158FC" w14:textId="77777777" w:rsidR="00F2574C" w:rsidRPr="00BF657C" w:rsidRDefault="00F2574C" w:rsidP="00F2574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60BF91CA" w14:textId="77777777" w:rsidR="00F2574C" w:rsidRPr="00900A65" w:rsidRDefault="00F2574C" w:rsidP="00F2574C">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 II.</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a dosaženou hodnotu indikátoru k Rozhodnému datu.</w:t>
            </w:r>
          </w:p>
          <w:p w14:paraId="3048CED8" w14:textId="77777777" w:rsidR="00F2574C" w:rsidRPr="00900A65" w:rsidRDefault="00F2574C" w:rsidP="00F2574C">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V ostatních případech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 xml:space="preserve">a minimální hranici tolerančního pásma indikátoru v případě, kdy nedojde k udržení u indikátoru: </w:t>
            </w:r>
          </w:p>
          <w:p w14:paraId="743413D9" w14:textId="77777777" w:rsidR="00F2574C" w:rsidRPr="00900A65" w:rsidRDefault="00F2574C" w:rsidP="00F2574C">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0CEA74CE" w14:textId="77777777" w:rsidR="00F2574C" w:rsidRPr="00900A65" w:rsidRDefault="00F2574C" w:rsidP="00F2574C">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na 75 % cílové hodnoty a více.</w:t>
            </w:r>
          </w:p>
          <w:p w14:paraId="198FB7D0" w14:textId="77777777" w:rsidR="00F2574C" w:rsidRPr="00900A65" w:rsidRDefault="00F2574C" w:rsidP="00F2574C">
            <w:pPr>
              <w:spacing w:before="120" w:after="120" w:line="271" w:lineRule="auto"/>
              <w:jc w:val="both"/>
              <w:rPr>
                <w:rFonts w:ascii="Arial" w:hAnsi="Arial" w:cs="Arial"/>
                <w:sz w:val="22"/>
                <w:szCs w:val="22"/>
              </w:rPr>
            </w:pPr>
            <w:r w:rsidRPr="00900A65">
              <w:rPr>
                <w:rFonts w:ascii="Arial" w:hAnsi="Arial" w:cs="Arial"/>
                <w:sz w:val="22"/>
                <w:szCs w:val="22"/>
                <w:lang w:eastAsia="zh-CN" w:bidi="ar"/>
              </w:rPr>
              <w:t>Do vzorce výpočtu bude promítnuta délka zkoumaného období a bude zohledněna délka doby, po kterou příjemce indikátory neudržel.</w:t>
            </w:r>
            <w:r w:rsidRPr="00900A65">
              <w:rPr>
                <w:rFonts w:ascii="Arial" w:hAnsi="Arial" w:cs="Arial"/>
                <w:sz w:val="22"/>
                <w:szCs w:val="22"/>
              </w:rPr>
              <w:t xml:space="preserve"> </w:t>
            </w:r>
          </w:p>
          <w:p w14:paraId="398B6A26" w14:textId="77777777" w:rsidR="00F2574C" w:rsidRPr="00900A65" w:rsidRDefault="00F2574C" w:rsidP="00F2574C">
            <w:pPr>
              <w:spacing w:before="120" w:after="120" w:line="271" w:lineRule="auto"/>
              <w:jc w:val="both"/>
              <w:rPr>
                <w:rFonts w:ascii="Arial" w:hAnsi="Arial" w:cs="Arial"/>
                <w:snapToGrid w:val="0"/>
                <w:sz w:val="22"/>
                <w:szCs w:val="22"/>
              </w:rPr>
            </w:pPr>
            <w:r w:rsidRPr="00900A65">
              <w:rPr>
                <w:rFonts w:ascii="Arial" w:hAnsi="Arial" w:cs="Arial"/>
                <w:snapToGrid w:val="0"/>
                <w:sz w:val="22"/>
                <w:szCs w:val="22"/>
              </w:rPr>
              <w:t>V případě indikátorů (</w:t>
            </w:r>
            <w:r w:rsidRPr="00900A65">
              <w:rPr>
                <w:rFonts w:ascii="Arial" w:hAnsi="Arial" w:cs="Arial"/>
                <w:i/>
                <w:iCs/>
                <w:snapToGrid w:val="0"/>
                <w:sz w:val="22"/>
                <w:szCs w:val="22"/>
              </w:rPr>
              <w:t>V. a V</w:t>
            </w:r>
            <w:r>
              <w:rPr>
                <w:rFonts w:ascii="Arial" w:hAnsi="Arial" w:cs="Arial"/>
                <w:i/>
                <w:iCs/>
                <w:snapToGrid w:val="0"/>
                <w:sz w:val="22"/>
                <w:szCs w:val="22"/>
              </w:rPr>
              <w:t>I</w:t>
            </w:r>
            <w:r w:rsidRPr="00900A65">
              <w:rPr>
                <w:rFonts w:ascii="Arial" w:hAnsi="Arial" w:cs="Arial"/>
                <w:i/>
                <w:iCs/>
                <w:snapToGrid w:val="0"/>
                <w:sz w:val="22"/>
                <w:szCs w:val="22"/>
              </w:rPr>
              <w:t>.</w:t>
            </w:r>
            <w:r w:rsidRPr="00900A65">
              <w:rPr>
                <w:rFonts w:ascii="Arial" w:hAnsi="Arial" w:cs="Arial"/>
                <w:snapToGrid w:val="0"/>
                <w:sz w:val="22"/>
                <w:szCs w:val="22"/>
              </w:rPr>
              <w:t>) naplňovaných za 1. rok udržitelnosti je jejich udržení zkoumáno až od 2. roku udržitelnosti.</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4B2DAD09" w14:textId="77777777" w:rsidR="009132E6"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p w14:paraId="6A2503EA" w14:textId="0F04EE11" w:rsidR="00C93D45" w:rsidRPr="00E21F60" w:rsidRDefault="00C93D45" w:rsidP="0042247B">
            <w:pPr>
              <w:spacing w:before="120" w:after="120" w:line="271" w:lineRule="auto"/>
              <w:jc w:val="both"/>
              <w:rPr>
                <w:rFonts w:ascii="Arial" w:hAnsi="Arial" w:cs="Arial"/>
                <w:sz w:val="22"/>
                <w:szCs w:val="22"/>
                <w:lang w:eastAsia="ar-SA"/>
              </w:rPr>
            </w:pP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2FD6961"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w:t>
            </w:r>
            <w:r w:rsidRPr="00E21F60">
              <w:rPr>
                <w:rFonts w:ascii="Arial" w:hAnsi="Arial" w:cs="Arial"/>
                <w:snapToGrid w:val="0"/>
                <w:sz w:val="22"/>
                <w:szCs w:val="22"/>
              </w:rPr>
              <w:lastRenderedPageBreak/>
              <w:t xml:space="preserve">„NKÚ“),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186BA7">
              <w:rPr>
                <w:rFonts w:ascii="Arial" w:hAnsi="Arial" w:cs="Arial"/>
                <w:snapToGrid w:val="0"/>
                <w:sz w:val="22"/>
                <w:szCs w:val="22"/>
              </w:rPr>
              <w:br/>
            </w:r>
            <w:r w:rsidR="00186BA7" w:rsidRPr="00BF657C">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0AFDB355" w14:textId="77777777" w:rsidR="009132E6" w:rsidRDefault="009132E6" w:rsidP="0042247B">
            <w:pPr>
              <w:pStyle w:val="Textkomente"/>
              <w:spacing w:before="120" w:after="120" w:line="271" w:lineRule="auto"/>
              <w:jc w:val="both"/>
              <w:rPr>
                <w:rFonts w:ascii="Arial" w:hAnsi="Arial" w:cs="Arial"/>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p w14:paraId="798E36EA" w14:textId="74841A9B" w:rsidR="00C93D45" w:rsidRPr="00E21F60" w:rsidRDefault="00C93D45" w:rsidP="0042247B">
            <w:pPr>
              <w:pStyle w:val="Textkomente"/>
              <w:spacing w:before="120" w:after="120" w:line="271" w:lineRule="auto"/>
              <w:jc w:val="both"/>
              <w:rPr>
                <w:rFonts w:ascii="Arial" w:hAnsi="Arial" w:cs="Arial"/>
                <w:snapToGrid w:val="0"/>
                <w:sz w:val="22"/>
                <w:szCs w:val="22"/>
              </w:rPr>
            </w:pP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r w:rsidR="0076001A" w:rsidRPr="00E21F60" w14:paraId="311B8B69" w14:textId="77777777" w:rsidTr="0076001A">
        <w:trPr>
          <w:trHeight w:val="410"/>
        </w:trPr>
        <w:tc>
          <w:tcPr>
            <w:tcW w:w="9067" w:type="dxa"/>
            <w:gridSpan w:val="2"/>
            <w:shd w:val="clear" w:color="auto" w:fill="D9D9D9" w:themeFill="background1" w:themeFillShade="D9"/>
          </w:tcPr>
          <w:p w14:paraId="5777FC6B" w14:textId="2B62860F" w:rsidR="0076001A" w:rsidRPr="0076001A" w:rsidRDefault="0076001A" w:rsidP="0076001A">
            <w:pPr>
              <w:pStyle w:val="Odstavecseseznamem"/>
              <w:numPr>
                <w:ilvl w:val="0"/>
                <w:numId w:val="25"/>
              </w:numPr>
              <w:spacing w:before="120" w:after="120" w:line="271" w:lineRule="auto"/>
              <w:jc w:val="both"/>
              <w:rPr>
                <w:rFonts w:ascii="Arial" w:hAnsi="Arial" w:cs="Arial"/>
                <w:b/>
                <w:bCs/>
                <w:sz w:val="22"/>
                <w:szCs w:val="22"/>
              </w:rPr>
            </w:pPr>
            <w:r w:rsidRPr="0076001A">
              <w:rPr>
                <w:rFonts w:ascii="Arial" w:hAnsi="Arial" w:cs="Arial"/>
                <w:b/>
                <w:bCs/>
                <w:sz w:val="22"/>
                <w:szCs w:val="22"/>
              </w:rPr>
              <w:t>Služby obecného hospodářského zájmu</w:t>
            </w:r>
          </w:p>
        </w:tc>
      </w:tr>
      <w:tr w:rsidR="0076001A" w:rsidRPr="00E21F60" w14:paraId="3FC134D0" w14:textId="77777777" w:rsidTr="255D11FC">
        <w:trPr>
          <w:trHeight w:val="410"/>
        </w:trPr>
        <w:tc>
          <w:tcPr>
            <w:tcW w:w="4533" w:type="dxa"/>
          </w:tcPr>
          <w:p w14:paraId="7520D500" w14:textId="28939D02" w:rsidR="0076001A" w:rsidRPr="0076001A" w:rsidRDefault="0076001A" w:rsidP="0076001A">
            <w:pPr>
              <w:spacing w:before="120" w:after="120" w:line="271" w:lineRule="auto"/>
              <w:jc w:val="both"/>
              <w:rPr>
                <w:rFonts w:ascii="Arial" w:hAnsi="Arial" w:cs="Arial"/>
                <w:snapToGrid w:val="0"/>
                <w:sz w:val="22"/>
                <w:szCs w:val="22"/>
              </w:rPr>
            </w:pPr>
            <w:r w:rsidRPr="0076001A">
              <w:rPr>
                <w:rFonts w:ascii="Arial" w:hAnsi="Arial" w:cs="Arial"/>
                <w:snapToGrid w:val="0"/>
                <w:sz w:val="22"/>
                <w:szCs w:val="22"/>
              </w:rPr>
              <w:t>Poskytovatel služby musí být pověřen k výkonu služby obecného hospodářského zájmu v souladu s </w:t>
            </w:r>
            <w:r w:rsidR="002E0C05">
              <w:rPr>
                <w:rFonts w:ascii="Arial" w:hAnsi="Arial" w:cs="Arial"/>
                <w:snapToGrid w:val="0"/>
                <w:sz w:val="22"/>
                <w:szCs w:val="22"/>
              </w:rPr>
              <w:t>r</w:t>
            </w:r>
            <w:r w:rsidRPr="0076001A">
              <w:rPr>
                <w:rFonts w:ascii="Arial" w:hAnsi="Arial" w:cs="Arial"/>
                <w:snapToGrid w:val="0"/>
                <w:sz w:val="22"/>
                <w:szCs w:val="22"/>
              </w:rPr>
              <w:t xml:space="preserve">ozhodnutím 2012/21/EU nejméně do konce doby životnosti projektu. </w:t>
            </w:r>
          </w:p>
          <w:p w14:paraId="716292D0" w14:textId="0798628E" w:rsidR="0076001A" w:rsidRPr="00E21F60" w:rsidRDefault="0076001A" w:rsidP="0076001A">
            <w:pPr>
              <w:spacing w:before="120" w:after="120" w:line="271" w:lineRule="auto"/>
              <w:jc w:val="both"/>
              <w:rPr>
                <w:rFonts w:ascii="Arial" w:hAnsi="Arial" w:cs="Arial"/>
                <w:snapToGrid w:val="0"/>
                <w:sz w:val="22"/>
                <w:szCs w:val="22"/>
              </w:rPr>
            </w:pPr>
            <w:r w:rsidRPr="0076001A">
              <w:rPr>
                <w:rFonts w:ascii="Arial" w:hAnsi="Arial" w:cs="Arial"/>
                <w:snapToGrid w:val="0"/>
                <w:sz w:val="22"/>
                <w:szCs w:val="22"/>
              </w:rPr>
              <w:lastRenderedPageBreak/>
              <w:t>Pokud bude poskytovatel služby pověřen více pověřovacími akty, je povinen zajistit jejich kontinuální návaznost.</w:t>
            </w:r>
          </w:p>
        </w:tc>
        <w:tc>
          <w:tcPr>
            <w:tcW w:w="4534" w:type="dxa"/>
          </w:tcPr>
          <w:p w14:paraId="6DA7219B" w14:textId="2F9E1B71" w:rsidR="0076001A" w:rsidRPr="00E21F60" w:rsidRDefault="0076001A" w:rsidP="0042247B">
            <w:pPr>
              <w:spacing w:before="120" w:after="120" w:line="271" w:lineRule="auto"/>
              <w:jc w:val="both"/>
              <w:rPr>
                <w:rFonts w:ascii="Arial" w:hAnsi="Arial" w:cs="Arial"/>
                <w:sz w:val="22"/>
                <w:szCs w:val="22"/>
              </w:rPr>
            </w:pPr>
            <w:r w:rsidRPr="0076001A">
              <w:rPr>
                <w:rFonts w:ascii="Arial" w:hAnsi="Arial" w:cs="Arial"/>
                <w:snapToGrid w:val="0"/>
                <w:sz w:val="22"/>
                <w:szCs w:val="22"/>
              </w:rPr>
              <w:lastRenderedPageBreak/>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0CFFBCE8" w14:textId="77777777" w:rsidR="009B2826" w:rsidRPr="00B24D6D" w:rsidRDefault="009B2826" w:rsidP="009B2826">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49FED0F2" w14:textId="77777777" w:rsidR="009B2826" w:rsidRPr="00B24D6D" w:rsidRDefault="009B2826" w:rsidP="009B2826">
      <w:pPr>
        <w:tabs>
          <w:tab w:val="left" w:pos="708"/>
        </w:tabs>
        <w:spacing w:before="120" w:after="120" w:line="271" w:lineRule="auto"/>
        <w:jc w:val="center"/>
        <w:rPr>
          <w:rFonts w:ascii="Arial" w:hAnsi="Arial" w:cs="Arial"/>
          <w:b/>
          <w:i/>
          <w:snapToGrid w:val="0"/>
          <w:sz w:val="22"/>
          <w:szCs w:val="22"/>
        </w:rPr>
      </w:pPr>
      <w:r w:rsidRPr="00802016">
        <w:rPr>
          <w:rFonts w:ascii="Arial" w:hAnsi="Arial" w:cs="Arial"/>
          <w:b/>
          <w:i/>
          <w:snapToGrid w:val="0"/>
          <w:sz w:val="22"/>
          <w:szCs w:val="22"/>
        </w:rPr>
        <w:t>Veřejná podpora</w:t>
      </w:r>
    </w:p>
    <w:p w14:paraId="4FA2A463" w14:textId="4108A923" w:rsidR="009B2826" w:rsidRPr="00F43D77" w:rsidRDefault="009B2826" w:rsidP="009B2826">
      <w:pPr>
        <w:numPr>
          <w:ilvl w:val="0"/>
          <w:numId w:val="35"/>
        </w:numPr>
        <w:spacing w:before="120" w:after="120" w:line="271" w:lineRule="auto"/>
        <w:jc w:val="both"/>
        <w:rPr>
          <w:rFonts w:ascii="Arial" w:hAnsi="Arial" w:cs="Arial"/>
          <w:snapToGrid w:val="0"/>
          <w:sz w:val="22"/>
          <w:szCs w:val="22"/>
        </w:rPr>
      </w:pPr>
      <w:r w:rsidRPr="00F43D77">
        <w:rPr>
          <w:rFonts w:ascii="Arial" w:hAnsi="Arial" w:cs="Arial"/>
          <w:snapToGrid w:val="0"/>
          <w:sz w:val="22"/>
          <w:szCs w:val="22"/>
        </w:rPr>
        <w:t xml:space="preserve">Dotace je udělena v souladu s </w:t>
      </w:r>
      <w:r w:rsidR="002E0C05">
        <w:rPr>
          <w:rFonts w:ascii="Arial" w:hAnsi="Arial" w:cs="Arial"/>
          <w:snapToGrid w:val="0"/>
          <w:sz w:val="22"/>
          <w:szCs w:val="22"/>
        </w:rPr>
        <w:t>r</w:t>
      </w:r>
      <w:r w:rsidRPr="00F43D77">
        <w:rPr>
          <w:rFonts w:ascii="Arial" w:hAnsi="Arial" w:cs="Arial"/>
          <w:snapToGrid w:val="0"/>
          <w:sz w:val="22"/>
          <w:szCs w:val="22"/>
        </w:rPr>
        <w:t>ozhodnutím Komise 2012/21/EU</w:t>
      </w:r>
      <w:r w:rsidRPr="0076001A">
        <w:rPr>
          <w:rFonts w:ascii="Arial" w:hAnsi="Arial" w:cs="Arial"/>
          <w:snapToGrid w:val="0"/>
          <w:sz w:val="22"/>
          <w:szCs w:val="22"/>
          <w:vertAlign w:val="superscript"/>
        </w:rPr>
        <w:footnoteReference w:id="18"/>
      </w:r>
      <w:r w:rsidRPr="00F43D77">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2D8946F4" w14:textId="44C75F89" w:rsidR="009B2826" w:rsidRPr="00F43D77" w:rsidRDefault="009B2826" w:rsidP="009B2826">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lastRenderedPageBreak/>
        <w:t>Příjemce dotace musí být zároveň poskytovatelem SOHZ. Příjemce dotace jako poskytovatel SOHZ musí být pověřen k výkonu SOHZ v souladu s </w:t>
      </w:r>
      <w:r w:rsidR="002E0C05">
        <w:rPr>
          <w:rFonts w:ascii="Arial" w:hAnsi="Arial" w:cs="Arial"/>
          <w:snapToGrid w:val="0"/>
          <w:sz w:val="22"/>
          <w:szCs w:val="22"/>
        </w:rPr>
        <w:t>r</w:t>
      </w:r>
      <w:r w:rsidRPr="00F43D77">
        <w:rPr>
          <w:rFonts w:ascii="Arial" w:hAnsi="Arial" w:cs="Arial"/>
          <w:snapToGrid w:val="0"/>
          <w:sz w:val="22"/>
          <w:szCs w:val="22"/>
        </w:rPr>
        <w:t xml:space="preserve">ozhodnutím Komise 2012/21/EU po celou dobu životnosti investice. </w:t>
      </w:r>
    </w:p>
    <w:p w14:paraId="0673C214" w14:textId="77777777" w:rsidR="009B2826" w:rsidRPr="00F43D77" w:rsidRDefault="009B2826" w:rsidP="009B2826">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24559BDF" w:rsidR="009132E6" w:rsidRPr="009B2826" w:rsidRDefault="009B2826" w:rsidP="009B2826">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2574C" w:rsidRPr="00E47FC1" w14:paraId="7FA46FBC"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62BE8FE2" w14:textId="77777777" w:rsidR="00F2574C" w:rsidRPr="00E47FC1" w:rsidRDefault="00F2574C"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3A2BBA6" w14:textId="77777777" w:rsidR="00F2574C" w:rsidRPr="00E47FC1" w:rsidRDefault="00F2574C"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505B462" w14:textId="77777777" w:rsidR="00F2574C" w:rsidRPr="00E47FC1" w:rsidRDefault="00F2574C"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6E5EEB7" w14:textId="77777777" w:rsidR="00F2574C" w:rsidRPr="00E47FC1" w:rsidRDefault="00F2574C"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E03B786" w14:textId="77777777" w:rsidR="00F2574C" w:rsidRPr="00E47FC1" w:rsidRDefault="00F2574C"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17</w:t>
          </w:r>
          <w:r w:rsidRPr="00E47FC1">
            <w:rPr>
              <w:rStyle w:val="slostrnky"/>
              <w:rFonts w:ascii="Arial" w:hAnsi="Arial" w:cs="Arial"/>
              <w:sz w:val="20"/>
            </w:rPr>
            <w:fldChar w:fldCharType="end"/>
          </w:r>
        </w:p>
      </w:tc>
    </w:tr>
  </w:tbl>
  <w:p w14:paraId="625F7A41" w14:textId="77777777" w:rsidR="00F2574C" w:rsidRDefault="00F2574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712C773"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3B32F8">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3B32F8">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0C23A725" w14:textId="77777777" w:rsidR="009B2826" w:rsidRDefault="009B2826" w:rsidP="009B2826">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4E37" w14:textId="77777777" w:rsidR="00F2574C" w:rsidRDefault="00F2574C" w:rsidP="008A17FD">
    <w:pPr>
      <w:pStyle w:val="Zhlav"/>
      <w:jc w:val="center"/>
    </w:pPr>
  </w:p>
  <w:p w14:paraId="6E4042A9" w14:textId="77777777" w:rsidR="00F2574C" w:rsidRDefault="00F257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71887072">
    <w:abstractNumId w:val="19"/>
  </w:num>
  <w:num w:numId="2" w16cid:durableId="1521623101">
    <w:abstractNumId w:val="28"/>
  </w:num>
  <w:num w:numId="3" w16cid:durableId="1210416001">
    <w:abstractNumId w:val="2"/>
  </w:num>
  <w:num w:numId="4" w16cid:durableId="201480712">
    <w:abstractNumId w:val="7"/>
  </w:num>
  <w:num w:numId="5" w16cid:durableId="709721179">
    <w:abstractNumId w:val="12"/>
  </w:num>
  <w:num w:numId="6" w16cid:durableId="25639110">
    <w:abstractNumId w:val="18"/>
  </w:num>
  <w:num w:numId="7" w16cid:durableId="371155152">
    <w:abstractNumId w:val="6"/>
  </w:num>
  <w:num w:numId="8" w16cid:durableId="581524317">
    <w:abstractNumId w:val="24"/>
  </w:num>
  <w:num w:numId="9" w16cid:durableId="714354076">
    <w:abstractNumId w:val="31"/>
  </w:num>
  <w:num w:numId="10" w16cid:durableId="891574812">
    <w:abstractNumId w:val="27"/>
  </w:num>
  <w:num w:numId="11" w16cid:durableId="1936665968">
    <w:abstractNumId w:val="8"/>
  </w:num>
  <w:num w:numId="12" w16cid:durableId="164253095">
    <w:abstractNumId w:val="10"/>
  </w:num>
  <w:num w:numId="13" w16cid:durableId="221254512">
    <w:abstractNumId w:val="34"/>
  </w:num>
  <w:num w:numId="14" w16cid:durableId="1747341445">
    <w:abstractNumId w:val="29"/>
  </w:num>
  <w:num w:numId="15" w16cid:durableId="1184126811">
    <w:abstractNumId w:val="13"/>
  </w:num>
  <w:num w:numId="16" w16cid:durableId="757755743">
    <w:abstractNumId w:val="20"/>
  </w:num>
  <w:num w:numId="17" w16cid:durableId="362825188">
    <w:abstractNumId w:val="4"/>
  </w:num>
  <w:num w:numId="18" w16cid:durableId="470287395">
    <w:abstractNumId w:val="15"/>
  </w:num>
  <w:num w:numId="19" w16cid:durableId="1942253441">
    <w:abstractNumId w:val="5"/>
  </w:num>
  <w:num w:numId="20" w16cid:durableId="47002083">
    <w:abstractNumId w:val="16"/>
  </w:num>
  <w:num w:numId="21" w16cid:durableId="1192571618">
    <w:abstractNumId w:val="17"/>
  </w:num>
  <w:num w:numId="22" w16cid:durableId="305865415">
    <w:abstractNumId w:val="14"/>
  </w:num>
  <w:num w:numId="23" w16cid:durableId="293675703">
    <w:abstractNumId w:val="23"/>
  </w:num>
  <w:num w:numId="24" w16cid:durableId="1894071867">
    <w:abstractNumId w:val="3"/>
  </w:num>
  <w:num w:numId="25" w16cid:durableId="1564484603">
    <w:abstractNumId w:val="1"/>
  </w:num>
  <w:num w:numId="26" w16cid:durableId="1525095896">
    <w:abstractNumId w:val="26"/>
  </w:num>
  <w:num w:numId="27" w16cid:durableId="197592812">
    <w:abstractNumId w:val="21"/>
  </w:num>
  <w:num w:numId="28" w16cid:durableId="1013917100">
    <w:abstractNumId w:val="9"/>
  </w:num>
  <w:num w:numId="29" w16cid:durableId="1642344829">
    <w:abstractNumId w:val="25"/>
  </w:num>
  <w:num w:numId="30" w16cid:durableId="1227767810">
    <w:abstractNumId w:val="32"/>
  </w:num>
  <w:num w:numId="31" w16cid:durableId="1113331641">
    <w:abstractNumId w:val="22"/>
  </w:num>
  <w:num w:numId="32" w16cid:durableId="2047246093">
    <w:abstractNumId w:val="0"/>
  </w:num>
  <w:num w:numId="33" w16cid:durableId="935484273">
    <w:abstractNumId w:val="11"/>
  </w:num>
  <w:num w:numId="34" w16cid:durableId="1241712515">
    <w:abstractNumId w:val="30"/>
  </w:num>
  <w:num w:numId="35" w16cid:durableId="80192307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BA7"/>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C05"/>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3F94"/>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2F8"/>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A8B"/>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6A"/>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1806"/>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01A"/>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9704E"/>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2826"/>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34F"/>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D45"/>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74C"/>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60B5"/>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4321F-0683-42C0-BC3B-072A161A1187}">
  <ds:schemaRefs>
    <ds:schemaRef ds:uri="http://schemas.openxmlformats.org/officeDocument/2006/bibliography"/>
  </ds:schemaRefs>
</ds:datastoreItem>
</file>

<file path=customXml/itemProps10.xml><?xml version="1.0" encoding="utf-8"?>
<ds:datastoreItem xmlns:ds="http://schemas.openxmlformats.org/officeDocument/2006/customXml" ds:itemID="{02B4EF8A-66D6-4311-950B-B0FF1C5046A3}">
  <ds:schemaRefs>
    <ds:schemaRef ds:uri="http://schemas.openxmlformats.org/officeDocument/2006/bibliography"/>
  </ds:schemaRefs>
</ds:datastoreItem>
</file>

<file path=customXml/itemProps11.xml><?xml version="1.0" encoding="utf-8"?>
<ds:datastoreItem xmlns:ds="http://schemas.openxmlformats.org/officeDocument/2006/customXml" ds:itemID="{B2E41E36-D223-458F-BE01-9DE60E590987}">
  <ds:schemaRefs>
    <ds:schemaRef ds:uri="http://schemas.openxmlformats.org/officeDocument/2006/bibliography"/>
  </ds:schemaRefs>
</ds:datastoreItem>
</file>

<file path=customXml/itemProps12.xml><?xml version="1.0" encoding="utf-8"?>
<ds:datastoreItem xmlns:ds="http://schemas.openxmlformats.org/officeDocument/2006/customXml" ds:itemID="{2BFC63DB-2751-4872-91CB-CAB2406CDFE1}">
  <ds:schemaRefs>
    <ds:schemaRef ds:uri="http://schemas.openxmlformats.org/officeDocument/2006/bibliography"/>
  </ds:schemaRefs>
</ds:datastoreItem>
</file>

<file path=customXml/itemProps13.xml><?xml version="1.0" encoding="utf-8"?>
<ds:datastoreItem xmlns:ds="http://schemas.openxmlformats.org/officeDocument/2006/customXml" ds:itemID="{0B036D63-B527-40F0-A590-76099D18482C}">
  <ds:schemaRefs>
    <ds:schemaRef ds:uri="http://schemas.openxmlformats.org/officeDocument/2006/bibliography"/>
  </ds:schemaRefs>
</ds:datastoreItem>
</file>

<file path=customXml/itemProps14.xml><?xml version="1.0" encoding="utf-8"?>
<ds:datastoreItem xmlns:ds="http://schemas.openxmlformats.org/officeDocument/2006/customXml" ds:itemID="{090BB27E-048D-42B2-A0BD-176ED1FB1805}">
  <ds:schemaRefs>
    <ds:schemaRef ds:uri="http://schemas.openxmlformats.org/officeDocument/2006/bibliography"/>
  </ds:schemaRefs>
</ds:datastoreItem>
</file>

<file path=customXml/itemProps15.xml><?xml version="1.0" encoding="utf-8"?>
<ds:datastoreItem xmlns:ds="http://schemas.openxmlformats.org/officeDocument/2006/customXml" ds:itemID="{AA903F76-94BD-47BD-880E-C9EBCAAC7D7C}">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purl.org/dc/dcmitype/"/>
    <ds:schemaRef ds:uri="http://schemas.microsoft.com/office/2006/documentManagement/types"/>
    <ds:schemaRef ds:uri="http://purl.org/dc/elements/1.1/"/>
    <ds:schemaRef ds:uri="http://schemas.microsoft.com/office/2006/metadata/properties"/>
    <ds:schemaRef ds:uri="38a97ebd-7b55-4e0a-b11e-b1f20907ee6a"/>
    <ds:schemaRef ds:uri="96f83003-48fd-4f52-836f-d78a4dd9c06d"/>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17.xml><?xml version="1.0" encoding="utf-8"?>
<ds:datastoreItem xmlns:ds="http://schemas.openxmlformats.org/officeDocument/2006/customXml" ds:itemID="{28BFEF0D-0485-4870-8546-D999E52E88C1}">
  <ds:schemaRefs>
    <ds:schemaRef ds:uri="http://schemas.openxmlformats.org/officeDocument/2006/bibliography"/>
  </ds:schemaRefs>
</ds:datastoreItem>
</file>

<file path=customXml/itemProps18.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9.xml><?xml version="1.0" encoding="utf-8"?>
<ds:datastoreItem xmlns:ds="http://schemas.openxmlformats.org/officeDocument/2006/customXml" ds:itemID="{419642BF-2330-44D5-AB25-F2414071C9C0}">
  <ds:schemaRefs>
    <ds:schemaRef ds:uri="http://schemas.openxmlformats.org/officeDocument/2006/bibliography"/>
  </ds:schemaRefs>
</ds:datastoreItem>
</file>

<file path=customXml/itemProps2.xml><?xml version="1.0" encoding="utf-8"?>
<ds:datastoreItem xmlns:ds="http://schemas.openxmlformats.org/officeDocument/2006/customXml" ds:itemID="{286A1DC2-A9A0-40F4-BD8B-BD468D14C458}">
  <ds:schemaRefs>
    <ds:schemaRef ds:uri="http://schemas.openxmlformats.org/officeDocument/2006/bibliography"/>
  </ds:schemaRefs>
</ds:datastoreItem>
</file>

<file path=customXml/itemProps2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3.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4.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5.xml><?xml version="1.0" encoding="utf-8"?>
<ds:datastoreItem xmlns:ds="http://schemas.openxmlformats.org/officeDocument/2006/customXml" ds:itemID="{8DC51AA5-3965-42A2-B8CB-A6A90C195704}">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2C1DB28B-9012-49B1-A4F1-FEEC67FEB773}">
  <ds:schemaRefs>
    <ds:schemaRef ds:uri="http://schemas.openxmlformats.org/officeDocument/2006/bibliography"/>
  </ds:schemaRefs>
</ds:datastoreItem>
</file>

<file path=customXml/itemProps4.xml><?xml version="1.0" encoding="utf-8"?>
<ds:datastoreItem xmlns:ds="http://schemas.openxmlformats.org/officeDocument/2006/customXml" ds:itemID="{26FB7615-027D-45DD-8642-085DEB005A44}">
  <ds:schemaRefs>
    <ds:schemaRef ds:uri="http://schemas.openxmlformats.org/officeDocument/2006/bibliography"/>
  </ds:schemaRefs>
</ds:datastoreItem>
</file>

<file path=customXml/itemProps5.xml><?xml version="1.0" encoding="utf-8"?>
<ds:datastoreItem xmlns:ds="http://schemas.openxmlformats.org/officeDocument/2006/customXml" ds:itemID="{F1ADD12C-234E-466B-9102-99630ABE36B7}">
  <ds:schemaRefs>
    <ds:schemaRef ds:uri="http://schemas.openxmlformats.org/officeDocument/2006/bibliography"/>
  </ds:schemaRefs>
</ds:datastoreItem>
</file>

<file path=customXml/itemProps6.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7.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8.xml><?xml version="1.0" encoding="utf-8"?>
<ds:datastoreItem xmlns:ds="http://schemas.openxmlformats.org/officeDocument/2006/customXml" ds:itemID="{0B36C327-368D-4CD9-A0EB-5C76B3623B64}">
  <ds:schemaRefs>
    <ds:schemaRef ds:uri="http://schemas.openxmlformats.org/officeDocument/2006/bibliography"/>
  </ds:schemaRefs>
</ds:datastoreItem>
</file>

<file path=customXml/itemProps9.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3764</Words>
  <Characters>21908</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10</cp:revision>
  <cp:lastPrinted>2022-07-27T19:25:00Z</cp:lastPrinted>
  <dcterms:created xsi:type="dcterms:W3CDTF">2022-11-02T10:38:00Z</dcterms:created>
  <dcterms:modified xsi:type="dcterms:W3CDTF">2023-03-30T09:08:00Z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